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เนื้อหา A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แนวปฏิบัติเพื่อการขับขี่รถพยาบาลที่ปลอดภัย</w:t>
      </w:r>
    </w:p>
    <w:p>
      <w:pPr>
        <w:pStyle w:val="เนื้อหา A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กระทรวงสาธารณสุข</w:t>
      </w: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tab/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w:tab/>
      </w:r>
      <w:r>
        <w:rPr>
          <w:rFonts w:ascii="TH Sarabun New" w:hAnsi="TH Sarabun New"/>
          <w:sz w:val="32"/>
          <w:szCs w:val="32"/>
          <w:rtl w:val="0"/>
        </w:rPr>
        <w:t>ความปลอดภัยของผู้ป่วยและบุคลากรในระหว่างการเคลื่อนย้ายผู้ป่วยในการแพทย์ฉุกเฉิน เป็นสิ่งที่กระทรวงสาธารณสุขให้ความสำคัญ และหนึ่งในปัจจัยที่มีผลต่อความปลอดภัยของผู้ป่วยและบุคลากร คือการขับขี่รถพยาบาล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จากรายงานอุบัติเหตุรถพยาบาลในประเทศไทย เก็บรวบรวมข้อมูลโดยสถาบันการแพทย์ฉุกเฉิน แห่งชาติ สรุปเมื่อเดือนกันยายน พ.ศ. 2558 ได้มีการวิเคราะห์สาเหตุด้านพนักงานขับรถพยาบาล ที่อาจทำให้เกิดอุบัติเหตุ ซึ่งสาเหตุที่พบได้แก่ พนักงานขับรถไม่ได้ผ่านการอบรมการขับรถพยาบาล ความอ่อนล้าของพนักงานขับรถก่อนการปฏิบัติงาน มีการใช้ความเร็วสูง ไม่รัดเข็มขัดนิรภัยในส่วน ห้องโดยสาร เป็นต้น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สาเหตุของอุบัติเหตุที่เกิดกับรถพยาบาล ในที่เกี่ยวข้องกับผู้ขับขี่รถพยาบาล อาจแบ่งประเภท ได้เป็น ความบกพร่องทางด้านสภาพร่างกาย จิตใจและอารมณ์ ขาดความรู้ความชำนาญ และประสบการณ์ในการใช้ถนน ไม่ปฏิบัติตามกฎระเบียบหรือข้อบังคับ และความประมาท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จากปัญหาที่เกิดขึ้นจากพนักงานขับรถพยาบาล กระทรวงสาธารณสุขจึงให้มีการป้องกันและแก้ไขปัญหา โดยการกำหนดแนวปฏิบัติเพื่อการขับขี่รถพยาบาลปลอดภัยเข้าเป็นส่วนหนึ่งของคู่มือ มาตรฐานความปลอดภัยรถพยาบาล โดยมีวัตถุประสงค์เพื่อยกระดับมาตรฐานและพัฒนาศักยภาพของ พนักงานขับรถพยาบาล ให้สามารถขับรถพยาบาลได้อย่างปลอดภัยและมีประสิทธิภาพ ทำให้ผู้ป่วยและบุคลากรทางการแพทย์ที่อยู่บนรถพยาบาลมีความปลอดภัยมากที่สุด โดยเนื้อหาประกอบด้วย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w:tab/>
      </w:r>
      <w:r>
        <w:rPr>
          <w:rFonts w:ascii="TH Sarabun New" w:hAnsi="TH Sarabun New"/>
          <w:sz w:val="32"/>
          <w:szCs w:val="32"/>
          <w:rtl w:val="0"/>
        </w:rPr>
        <w:t>หมวดที่ 1    คุณสมบัติของพนักงานขับรถพยาบาล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w:tab/>
      </w:r>
      <w:r>
        <w:rPr>
          <w:rFonts w:ascii="TH Sarabun New" w:hAnsi="TH Sarabun New"/>
          <w:sz w:val="32"/>
          <w:szCs w:val="32"/>
          <w:rtl w:val="0"/>
        </w:rPr>
        <w:t>หมวดที่ 2    ความพร้อมของร่างกายและจิตใจของพนักงานขับรถ</w:t>
      </w:r>
    </w:p>
    <w:p>
      <w:pPr>
        <w:pStyle w:val="เนื้อหา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w:tab/>
      </w:r>
      <w:r>
        <w:rPr>
          <w:rFonts w:ascii="TH Sarabun New" w:hAnsi="TH Sarabun New"/>
          <w:sz w:val="32"/>
          <w:szCs w:val="32"/>
          <w:rtl w:val="0"/>
        </w:rPr>
        <w:t>หมวดที่ 3    หลักปฏิบัติในการขับขี่รถพยาบาล</w:t>
      </w:r>
    </w:p>
    <w:p>
      <w:pPr>
        <w:pStyle w:val="เนื้อหา A"/>
        <w:jc w:val="center"/>
        <w:rPr>
          <w:rFonts w:ascii="TH Sarabun New" w:cs="TH Sarabun New" w:hAnsi="TH Sarabun New" w:eastAsia="TH Sarabun New"/>
        </w:rPr>
      </w:pPr>
    </w:p>
    <w:p>
      <w:pPr>
        <w:pStyle w:val="เนื้อหา A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หมวดที่ </w:t>
      </w:r>
      <w:r>
        <w:rPr>
          <w:rFonts w:ascii="TH Sarabun New" w:hAnsi="TH Sarabun New"/>
          <w:b w:val="1"/>
          <w:bCs w:val="1"/>
          <w:sz w:val="32"/>
          <w:szCs w:val="32"/>
          <w:rtl w:val="0"/>
          <w:lang w:val="en-US"/>
        </w:rPr>
        <w:t xml:space="preserve">1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คุณสมบัติของพนักงานขับรถพยาบาล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คุณสมบัติของพนักงานขับรถพยาบาล กระทรวงสาธารณสุข มีลักษณะดังต่อไปนี้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ไม่มีลักษณะโรคต้องห้ามตามที่กำหนดไว้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ผ่านการอบรมตามหลักสูตรที่กำหนดไว้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ความรู้ / ความเชี่ยวชาญเฉพาะด้าน</w:t>
      </w:r>
    </w:p>
    <w:p>
      <w:pPr>
        <w:pStyle w:val="เนื้อหา A"/>
        <w:numPr>
          <w:ilvl w:val="1"/>
          <w:numId w:val="3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พนักงานขับรถพยาบาลต้องมีใบอนุญาตขับขี่รถสาธารณะ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พนักงานขับรถพยาบาลต้องผ่านหลักสูตรการปฏิบัติการฉุกเฉินทางการแพทย์ อย่างน้อยหลักสูตรอาสาสมัครฉุกเฉินการแพทย์ (40 ชั่วโมง)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พนักงานขับรถพยาบาลผ่านการอบรมพนักงานขับรถพยาบาล / รถปฏิบัติการฉุกเฉินปลอดภัย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หลักสูตรอบรมพนักงานขับรถพยาบาลต้องประกอบด้วยัวข้อต่างๆ ดังต่อไปนี้</w:t>
      </w:r>
    </w:p>
    <w:p>
      <w:pPr>
        <w:pStyle w:val="เนื้อหา A"/>
        <w:numPr>
          <w:ilvl w:val="1"/>
          <w:numId w:val="4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ทัศนคติและจิตสํานึกในการขับรถพยาบาลอย่างปลอดภัย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การเตรียมความพร้อมด้านสภาพร่างกายและจิตใจ ของพนักงานขับรถพยาบาล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กรเตรียมควมพร้อมของรถพยาบาล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กฎหมยที่เกี่ยวข้องกับการขับรถพยาบาล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การสื่อสารในรถพยาบาล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การวางแผนการเดินทางด้วย GPS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การขับรถพยาบาลปลอดภัย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การประเมิน ควบคุม และแก้ไขสถานการณ์ไม่ปกติและฉุกเฉิน 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การบริหารจัดการความเหนื่อยล้า</w:t>
      </w:r>
    </w:p>
    <w:p>
      <w:pPr>
        <w:pStyle w:val="เนื้อหา A"/>
        <w:numPr>
          <w:ilvl w:val="1"/>
          <w:numId w:val="2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การปฏิบัติการรถพยาบาล 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โรคต้องห้าม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โรคหัวใจ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มีอาการของโรคหลอดเลือดหัวใจ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มีประวัติอาการหมดสติแบบ (Recurrent vasovagal syncope)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อัตราการเต้นของหัวใจช้าหรือเร็ว ร่วมกับมีอาการมีอาการผิดปกติ (symptomatic sinus tachycardia or Sinus bradycardia)                  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หัวใจห้องบนเต้นผิดจังหวะอย่างชัดเจน Supraventricular rhythm รวมทั้ง Sinoatrial dysfunction ไม่ว่าจะเป็นแบบ Intermittent หรือ Established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 xml:space="preserve">มี Broad and/or Narrow complex tachycardia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มีครื่องควบคุมการทํางานของ หัวใจแบบอัตโนมัติ (Endocardial Pacemaker)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ยกเว้นกรณีต่อไปนี้</w:t>
      </w:r>
      <w:r>
        <w:rPr>
          <w:rFonts w:ascii="TH Sarabun New" w:hAnsi="TH Sarabun New"/>
          <w:sz w:val="32"/>
          <w:szCs w:val="32"/>
          <w:rtl w:val="0"/>
          <w:lang w:val="en-US"/>
        </w:rPr>
        <w:t xml:space="preserve"> Asymptomatic isolated uniform atrial or ventricular ectopic complexes ไม่มีความผิดปกติอื่น ๆ นอกจากการมี Incomplete bundle branch block หรือStable left axis deviation 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โรคทางระบบประสาท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โรคลมชัก (Epilepsy) นอกจากว่ามีหลักฐานที่ชัดแจ้งว่าเป็นการชัก ตั้งแต่วัยเด็กร่วมกับการมีโอกาสกลับเป็นซ้ำต่ำ และหยุดการรักษามาแล้วมากกว่า 10 ปี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การมีการชัก 1 ครั้งหรือมากกว่า หลังอายุ 5 ปี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โรคพาร์กินสัน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โรคหลอดเลือดสมอง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ผู้ที่เคยผ่าตัดสมองมาก่อน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โรคความดันโลหิต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ถ้าวัดความดันได้ 160/95 มม. ปรอท ขึ้นไป ไม่ว่าจะกําลังรักษาหรือไม่ได้รักษาก็ตาม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การใช้ยารักษาความดันโลหิตสูงต้องปลอดภัย ไม่มีผลข้างเคียงที่อาจส่งผลกระทบต่อการขับรถ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ผู้ที่มีอาการเนื่องจากความดันโลหิตต่ำ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โรคเบาหวาน ให้ถือเป็นข้อห้าม กรณีเป็นโรคเบาหวานและต้องการรักษาด้วยอินซูลิน (Insulin) 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โรคจิตเวช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มีประวัติทางการแพทย์หรือได้รับการวินิจฉัยว่าเป็นโรค หรือความบกพร่องความผิดปกติทางจิตเวช ทั้งเฉียบพลันหรือเรื้อรัง เป็นแต่กําเนิดหรือเกิดขึ้นภายหลัง ซึ่งอาจกระทบกระเทือนต่อความปลอดภัยในการปฏิบัติหน้าที่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มีความผิดปกติดังต่อไปนี้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อาการทางจิต (Psychotic symptoms)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โรคอารมณ์แปรปรวน (Mood disorder)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บุคลิกภาพผิดปกติ (Personality disorders) โดยเฉพาะที่รุนแรงพอที่จะเกิดการแสดงออกมากเกินไป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ความผิดปกติทางจิตใจและโรคประสาท (Mental abnormality and neurosis)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โรคติดสุรา (Alcohol abuse &amp; dependence)</w:t>
      </w:r>
    </w:p>
    <w:p>
      <w:pPr>
        <w:pStyle w:val="เนื้อหา A"/>
        <w:numPr>
          <w:ilvl w:val="4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การใช้ยาหรือการใช้ยาแบบผิด (Abuse) ของยาทางจิตเวช หรือการใช้สารเสพติดอื่น ๆ ทั้งที่มีการเสพติด (Dependence) หรือไม่มี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โรคเลือด ให้ถือเป็นข้อห้ามกรณีตรวจความเข้มข้นของเลือด (Hemoglobin) เมื่อแรกเข้า และเมื่อมีข้อบ่งชี้ทางการแพทย์ในรายที่พบว่ามีอาการซีด (Anemia) อย่างชัดเจน Haematocrit ต่ำกว่า 32%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โรคติดต่อร้ายแรง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โรคเท้าช้างในระยะที่ปรากฎเป็นอาการที่น่ารังเกียจแก่สังคม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โรควัณโรคในระยะแพร่กระจายเชื้อ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โรคเรื้อนในระยะติดต่อหรือในระยะปรากฏอาการเป็นที่รังเกียจแก่สังคม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โรคทางตา ให้ถือเป็นข้อห้ามกรณีดังต่อไปนี้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โรคต้อกระจก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โรคต้อหิน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โรคตาบอดสี</w:t>
      </w: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เนื้อหา A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หมวดที่ </w:t>
      </w:r>
      <w:r>
        <w:rPr>
          <w:rFonts w:ascii="TH Sarabun New" w:hAnsi="TH Sarabun New"/>
          <w:b w:val="1"/>
          <w:bCs w:val="1"/>
          <w:sz w:val="32"/>
          <w:szCs w:val="32"/>
          <w:rtl w:val="0"/>
          <w:lang w:val="en-US"/>
        </w:rPr>
        <w:t xml:space="preserve">2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ความพร้อมของร่างกายและจิตใจของพนักงานขับรถ</w:t>
      </w: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มาตรการเตรียมความพร้อมด้านสุขภาพ ร่างกายของพนักงานขับรถพยาบาล</w:t>
      </w:r>
    </w:p>
    <w:p>
      <w:pPr>
        <w:pStyle w:val="เนื้อหา A"/>
        <w:numPr>
          <w:ilvl w:val="0"/>
          <w:numId w:val="6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ชุดการตรวจสุขภาพประจำปี แนะนำให้ทำอย่างน้อย 1 ครั้ง/ปี โดยให้ดำเนินการตรวจดังต่อไปนี้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Complete blood count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BUN, Creatinine, electrolyte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Liver function test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Urine analysis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Fasting blood sugar, Lipid profile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Thyroid function test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Chest x-ray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fr-FR"/>
        </w:rPr>
      </w:pPr>
      <w:r>
        <w:rPr>
          <w:rFonts w:ascii="TH Sarabun New" w:hAnsi="TH Sarabun New"/>
          <w:sz w:val="32"/>
          <w:szCs w:val="32"/>
          <w:rtl w:val="0"/>
          <w:lang w:val="fr-FR"/>
        </w:rPr>
        <w:t>Electrocardiogram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ตรวจสภาพความพร้อมของร่างกาย (Physical Fitness Test) การทดสอบให้ทำที่สำนักงานขนส่งพื้นที่</w:t>
      </w:r>
      <w:r>
        <w:rPr>
          <w:rFonts w:ascii="Arial Unicode MS" w:cs="Arial Unicode MS" w:hAnsi="Arial Unicode MS" w:eastAsia="Arial Unicode MS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(ทำปีละ 1 ครั้ง)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การทดสอบที่ 1 การมองเห็นสี (Color Vision) มีวัตถุประสงค์เพื่อตรวจความสามารถในการมองเห็นสีที่แตกต่างกันและใกล้เคียงกันได้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การทดสอบที่ 2 การมองเห็นสีสัญญาณไฟจราจร (Traffic Color Recognition) มีวัตถุประสงค์เพื่อตาบอดสีหลัก หากผู้เข้าทดสอบไม่สามารถแยกแยะสีหลักได้ ไม่ควรที่จะขับรถเพราะ จะทําให้เกิดอันตรายในการขับขี่ได้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การทดสอบที่ 3 ปฏิกริยาตอบสนองในการเบรก (Reaction Time in Braking) มีวัตถุประสงค์เพื่อตรวจวัดการตอบสนองของร่างกาย เมื่อสายตามองเห็นสมองสั่งการให้ยกเท้าจากคันเร่งมา แตะเบรกใช้ระยะเวลาเท่าใด ซึ่งผลการทดสอบเฉลี่ย 3 ครั้งไม่ควรเกิน 0.75 วินาที หากเกินกว่านั้นอาจหมายถึงปฏิกริยาตอบสนองของท่านช้า ในการขับรถควรทิ้งระยะห่างจากรถคันหน้าให้มากกว่าปกติ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การทดสอบที่ 4 ลานของสายตา (Field Vision) วัตถุประสงค์เพื่อตรวจวัดลานของสายตาทั้งสองข้างร่วมกันปกติไปข้างหน้าลานสายตาจะอยู่ที่ 180องศา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การทดสอบที่ 5 ระยะการมองเห็น - ความลึกของสายตา (Depth Perception) มีวัตถุประสงค์เพื่อตรวจวัดระยะการมองเห็นและความลึกของสายตาซึ่งจะส่งผลต่อการมองเห็นระยะที่แตกต่างกันของรถที่แตกต่างกัน ซึ่งจะส่งผลต่อการตัดสินใจในการแซงรถ หรือวางตําแหน่งรถ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การทดสอบที่ 6 ความคมชัดของสายตา (Visual Acuity) มีวัตถุประสงค์เพื่อวัดความคมชัดของสายตา ซึ่งอาจส่งผลต่อการขับรถ เช่น สายตาสั้น สายตายาว สายตาเอียง หากไม่ผ่านการทดสอบควรปรึกษาจักษุแพทย์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การทดสอบที่ 7 การมองเห็นในที่มืด (Night Vision) มีวัตถุประสงค์เพื่อตรวจวัดการมองเห็น    ในบริเวณที่มีแสงน้อย เช่น เวลากลางคืน หากต่ำกว่าเกณฑ์ให้ระมัดระวังเรื่องการใช้ความเร็ว   ให้ต่ำ ให้สามารถหยุดรถได้ทัน ในช่วงที่แสงไฟส่องถึง 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การทดสอบที่ 8 การคืนสภาพการมองเห็นต่อแสงจ้า (Glare Recovery)</w:t>
      </w:r>
      <w:r>
        <w:rPr>
          <w:rFonts w:ascii="TH Sarabun New" w:hAnsi="TH Sarabun New"/>
          <w:sz w:val="32"/>
          <w:szCs w:val="32"/>
          <w:rtl w:val="0"/>
          <w:lang w:val="en-US"/>
        </w:rPr>
        <w:t xml:space="preserve"> </w:t>
      </w:r>
      <w:r>
        <w:rPr>
          <w:rFonts w:ascii="TH Sarabun New" w:hAnsi="TH Sarabun New"/>
          <w:sz w:val="32"/>
          <w:szCs w:val="32"/>
          <w:rtl w:val="0"/>
        </w:rPr>
        <w:t>มีวัตถุประสงค์เพื่อตรวจวัดระยะเวลาในการปรับสภาพสายตาให้สู่ภาวะปกติหลังจากมองเห็นแสงจ้าหากต่ำกว่าเกณฑ์ ให้ลดความเร็วลงก่อนที่รถจะวิ่งสวนมา หลีกเลี่ยงการมองแสงไฟ ให้มองที่ของทาง ด้านซ้ายขณะรถอีกคันวิ่งสวนทางมา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การตรวจสารเสพติดประจำปี (สุ่มตรวจปีละ 2 ครั้ง)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en-US"/>
        </w:rPr>
      </w:pPr>
      <w:r>
        <w:rPr>
          <w:rFonts w:ascii="TH Sarabun New" w:hAnsi="TH Sarabun New"/>
          <w:sz w:val="32"/>
          <w:szCs w:val="32"/>
          <w:rtl w:val="0"/>
          <w:lang w:val="en-US"/>
        </w:rPr>
        <w:t>Urine methamphetamine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da-DK"/>
        </w:rPr>
      </w:pPr>
      <w:r>
        <w:rPr>
          <w:rFonts w:ascii="TH Sarabun New" w:hAnsi="TH Sarabun New"/>
          <w:sz w:val="32"/>
          <w:szCs w:val="32"/>
          <w:rtl w:val="0"/>
          <w:lang w:val="da-DK"/>
        </w:rPr>
        <w:t>Urine morphine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it-IT"/>
        </w:rPr>
      </w:pPr>
      <w:r>
        <w:rPr>
          <w:rFonts w:ascii="TH Sarabun New" w:hAnsi="TH Sarabun New"/>
          <w:sz w:val="32"/>
          <w:szCs w:val="32"/>
          <w:rtl w:val="0"/>
          <w:lang w:val="it-IT"/>
        </w:rPr>
        <w:t>Urine benzodiazepine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  <w:lang w:val="it-IT"/>
        </w:rPr>
      </w:pPr>
      <w:r>
        <w:rPr>
          <w:rFonts w:ascii="TH Sarabun New" w:hAnsi="TH Sarabun New"/>
          <w:sz w:val="32"/>
          <w:szCs w:val="32"/>
          <w:rtl w:val="0"/>
          <w:lang w:val="it-IT"/>
        </w:rPr>
        <w:t>Urine cannabis</w:t>
      </w:r>
    </w:p>
    <w:p>
      <w:pPr>
        <w:pStyle w:val="เนื้อหา A"/>
        <w:numPr>
          <w:ilvl w:val="0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ทดสอบความพร้อมของร่างกาย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ตรวจความพร้อมโดยหัวหน้าทีม/หัวหน้าเวร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ตรวจสอบความเหมาะสมของการแต่งกาย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ตรวจวัดความดันโลหิต ต้องไม่เกิน 160/95 mmHg.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ตรวจวัดระดับแอลกอฮอล์โดยการตรวจแอลกอฮอล์จากการหายใจ ต้องเท่ากับ 0</w:t>
      </w:r>
    </w:p>
    <w:p>
      <w:pPr>
        <w:pStyle w:val="เนื้อหา A"/>
        <w:numPr>
          <w:ilvl w:val="2"/>
          <w:numId w:val="5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ตรวจความพร้อมในการขับรถ เช่น อาการมึนงง ตาแดง อดนอน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หากพบความความผิดปกติดังกล่าวให้งดปฏิบัติงาน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เนื้อหา A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หมวดที่ </w:t>
      </w:r>
      <w:r>
        <w:rPr>
          <w:rFonts w:ascii="TH Sarabun New" w:hAnsi="TH Sarabun New"/>
          <w:b w:val="1"/>
          <w:bCs w:val="1"/>
          <w:sz w:val="32"/>
          <w:szCs w:val="32"/>
          <w:rtl w:val="0"/>
          <w:lang w:val="en-US"/>
        </w:rPr>
        <w:t xml:space="preserve">3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หลักปฏิบัติในการขับขี่รถพยาบาล</w:t>
      </w: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มาตรการในการปฏิบัติงาน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ให้ยึดหลักดังต่อไปนี้ อย่างเคร่งครัด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ใช้ความเร็วไม่เกิน 90 กม./ชม. (ตามกฎหมายกำหนด)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ปฏิบัติตามกฎจราจร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ระยะเวลาทำงานไม่ควรทำงานต่อเนื่องเกิน 12 ชั่วโมงและควรมีเวลาพักผ่อนอย่างน้อย 12 ชั่วโมงต่อวัน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ระยะเวลาขับรถรวมกันต้องไม่เกิน 9 ชั่วโมง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กรณีขับรถต่อเนื่องควรมีการหยุดพักทุก 2 ชั่วโมง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กรณีส่งต่อผู้ป่วยระยะทางไปกลับมากกว่า 400 กิโลเมตร ต้องมีพนักงานขับรถอย่างน้อย 2 คน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กรณีส่งต่อผู้ป่วยระยะทางไปกลับมากกว่า 800 กิโลเมตร ต้องมีการพักค้างคืนระหว่างการเดินทางไป-กลับ</w:t>
      </w:r>
    </w:p>
    <w:p>
      <w:pPr>
        <w:pStyle w:val="เนื้อหา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เนื้อหา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มาตรการสร้างแรงจูงใจในการปฏิบัติงาน</w:t>
      </w:r>
    </w:p>
    <w:p>
      <w:pPr>
        <w:pStyle w:val="เนื้อหา A"/>
        <w:numPr>
          <w:ilvl w:val="1"/>
          <w:numId w:val="8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ค่าตอบแทนปฏิบัติการ 400 บาท/เวร (กรณีส่งต่อผู้ป่วยต้องนับชั่วโมงการทำงานทั้งการเดินทางไปและกลับ)</w:t>
      </w:r>
    </w:p>
    <w:p>
      <w:pPr>
        <w:pStyle w:val="เนื้อหา A"/>
        <w:numPr>
          <w:ilvl w:val="1"/>
          <w:numId w:val="7"/>
        </w:numPr>
        <w:bidi w:val="0"/>
        <w:ind w:right="0"/>
        <w:jc w:val="left"/>
        <w:rPr>
          <w:rFonts w:ascii="TH Sarabun New" w:hAnsi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หน่วยงานมีนโยบายชมเชยพนักงานขับรถพยาบาลที่ปฏิบัติหน้าที่ดี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H Sarabun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เป็นตัวเลข"/>
  </w:abstractNum>
  <w:abstractNum w:abstractNumId="1">
    <w:multiLevelType w:val="hybridMultilevel"/>
    <w:styleLink w:val="เป็นตัวเลข"/>
    <w:lvl w:ilvl="0">
      <w:start w:val="1"/>
      <w:numFmt w:val="decimal"/>
      <w:suff w:val="tab"/>
      <w:lvlText w:val="%1."/>
      <w:lvlJc w:val="left"/>
      <w:pPr>
        <w:ind w:left="699" w:hanging="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เนื้อหา A">
    <w:name w:val="เนื้อหา A"/>
    <w:next w:val="เนื้อหา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เป็นตัวเลข">
    <w:name w:val="เป็นตัวเล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