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47BBD" w14:textId="3495636D" w:rsidR="004D2C58" w:rsidRPr="004D2C58" w:rsidRDefault="004D2C58" w:rsidP="004D2C58">
      <w:pPr>
        <w:jc w:val="center"/>
        <w:rPr>
          <w:b/>
          <w:bCs/>
          <w:sz w:val="28"/>
          <w:szCs w:val="36"/>
        </w:rPr>
      </w:pPr>
      <w:r w:rsidRPr="004D2C58">
        <w:rPr>
          <w:b/>
          <w:bCs/>
          <w:sz w:val="28"/>
          <w:szCs w:val="36"/>
        </w:rPr>
        <w:t>Rhabdomyolysis Protocol 1.3.5</w:t>
      </w:r>
    </w:p>
    <w:p w14:paraId="3A8C22EE" w14:textId="77777777" w:rsidR="004D2C58" w:rsidRDefault="004D2C58" w:rsidP="004D2C58">
      <w:pPr>
        <w:ind w:firstLine="720"/>
      </w:pPr>
      <w:r w:rsidRPr="004D2C58">
        <w:rPr>
          <w:cs/>
        </w:rPr>
        <w:t xml:space="preserve">ดัดแปลงจากแนวทางในการให้การวินิจฉัยและให้การรักษาภาวะ </w:t>
      </w:r>
      <w:r w:rsidRPr="004D2C58">
        <w:t xml:space="preserve">Rhabdomyolysis </w:t>
      </w:r>
      <w:r w:rsidRPr="004D2C58">
        <w:rPr>
          <w:cs/>
        </w:rPr>
        <w:t>โรงพยาบาลเชียงรายประชานุเคราะห์</w:t>
      </w:r>
      <w:r w:rsidRPr="004D2C58">
        <w:t xml:space="preserve"> </w:t>
      </w:r>
    </w:p>
    <w:p w14:paraId="776EA44D" w14:textId="77777777" w:rsidR="004D2C58" w:rsidRDefault="004D2C58" w:rsidP="004D2C58"/>
    <w:p w14:paraId="6724C4D6" w14:textId="77777777" w:rsidR="004D2C58" w:rsidRPr="004D2C58" w:rsidRDefault="004D2C58" w:rsidP="004D2C58">
      <w:pPr>
        <w:ind w:firstLine="720"/>
        <w:rPr>
          <w:b/>
          <w:bCs/>
        </w:rPr>
      </w:pPr>
      <w:r w:rsidRPr="004D2C58">
        <w:rPr>
          <w:b/>
          <w:bCs/>
          <w:cs/>
        </w:rPr>
        <w:t xml:space="preserve">ผู้ป่วยที่ต้องเฝ้าระวังภาวะ </w:t>
      </w:r>
      <w:r w:rsidRPr="004D2C58">
        <w:rPr>
          <w:b/>
          <w:bCs/>
        </w:rPr>
        <w:t xml:space="preserve">Rhabdomyolysis </w:t>
      </w:r>
    </w:p>
    <w:p w14:paraId="044CAD42" w14:textId="77777777" w:rsidR="004D2C58" w:rsidRDefault="004D2C58" w:rsidP="004D2C58">
      <w:pPr>
        <w:ind w:firstLine="720"/>
      </w:pPr>
      <w:r w:rsidRPr="004D2C58">
        <w:t xml:space="preserve">1. Vascular injury </w:t>
      </w:r>
    </w:p>
    <w:p w14:paraId="5C47FCB3" w14:textId="77777777" w:rsidR="004D2C58" w:rsidRDefault="004D2C58" w:rsidP="004D2C58">
      <w:pPr>
        <w:ind w:firstLine="720"/>
      </w:pPr>
      <w:r w:rsidRPr="004D2C58">
        <w:t xml:space="preserve">2. Multiple long bone injury </w:t>
      </w:r>
    </w:p>
    <w:p w14:paraId="7A264904" w14:textId="77777777" w:rsidR="004D2C58" w:rsidRDefault="004D2C58" w:rsidP="004D2C58">
      <w:pPr>
        <w:ind w:firstLine="720"/>
      </w:pPr>
      <w:r w:rsidRPr="004D2C58">
        <w:t xml:space="preserve">3. Severe soft tissue injury </w:t>
      </w:r>
    </w:p>
    <w:p w14:paraId="145CA067" w14:textId="77777777" w:rsidR="004D2C58" w:rsidRDefault="004D2C58" w:rsidP="004D2C58">
      <w:pPr>
        <w:ind w:firstLine="720"/>
      </w:pPr>
      <w:r w:rsidRPr="004D2C58">
        <w:t xml:space="preserve">4. Severe head injury </w:t>
      </w:r>
    </w:p>
    <w:p w14:paraId="61A32D79" w14:textId="77777777" w:rsidR="004D2C58" w:rsidRDefault="004D2C58" w:rsidP="004D2C58">
      <w:pPr>
        <w:ind w:firstLine="720"/>
      </w:pPr>
      <w:r w:rsidRPr="004D2C58">
        <w:t xml:space="preserve">5. Hyperthermia T &gt; 39 </w:t>
      </w:r>
    </w:p>
    <w:p w14:paraId="4433BA34" w14:textId="77777777" w:rsidR="004D2C58" w:rsidRDefault="004D2C58" w:rsidP="004D2C58">
      <w:pPr>
        <w:ind w:firstLine="720"/>
      </w:pPr>
    </w:p>
    <w:p w14:paraId="034328E1" w14:textId="77777777" w:rsidR="004D2C58" w:rsidRDefault="004D2C58" w:rsidP="004D2C58">
      <w:pPr>
        <w:ind w:firstLine="720"/>
      </w:pPr>
      <w:r w:rsidRPr="004D2C58">
        <w:rPr>
          <w:b/>
          <w:bCs/>
        </w:rPr>
        <w:t>Diagnosis of rhabdomyolysis:</w:t>
      </w:r>
      <w:r w:rsidRPr="004D2C58">
        <w:t xml:space="preserve"> CK &gt;= 1,000 U/L </w:t>
      </w:r>
    </w:p>
    <w:p w14:paraId="5B0DB70B" w14:textId="77777777" w:rsidR="004D2C58" w:rsidRDefault="004D2C58" w:rsidP="004D2C58">
      <w:pPr>
        <w:ind w:firstLine="720"/>
      </w:pPr>
    </w:p>
    <w:p w14:paraId="3CA67B5D" w14:textId="77777777" w:rsidR="004D2C58" w:rsidRPr="004D2C58" w:rsidRDefault="004D2C58" w:rsidP="004D2C58">
      <w:pPr>
        <w:ind w:firstLine="720"/>
        <w:rPr>
          <w:b/>
          <w:bCs/>
        </w:rPr>
      </w:pPr>
      <w:r w:rsidRPr="004D2C58">
        <w:rPr>
          <w:b/>
          <w:bCs/>
          <w:cs/>
        </w:rPr>
        <w:t xml:space="preserve">แนวทางการรักษาภาวะ </w:t>
      </w:r>
      <w:r w:rsidRPr="004D2C58">
        <w:rPr>
          <w:b/>
          <w:bCs/>
        </w:rPr>
        <w:t xml:space="preserve">Rhabdomyolysis </w:t>
      </w:r>
    </w:p>
    <w:p w14:paraId="39D3E874" w14:textId="77777777" w:rsidR="004D2C58" w:rsidRDefault="004D2C58" w:rsidP="004D2C58">
      <w:pPr>
        <w:ind w:firstLine="720"/>
      </w:pPr>
    </w:p>
    <w:p w14:paraId="34CAB880" w14:textId="5881DA3D" w:rsidR="004D2C58" w:rsidRDefault="004D2C58" w:rsidP="004D2C58">
      <w:pPr>
        <w:ind w:firstLine="720"/>
      </w:pPr>
      <w:r w:rsidRPr="004D2C58">
        <w:t xml:space="preserve">1. CK 1,000 - 4,999 - Oral hydration, IV maintenance rate </w:t>
      </w:r>
      <w:r w:rsidRPr="004D2C58">
        <w:rPr>
          <w:cs/>
        </w:rPr>
        <w:t xml:space="preserve">ถ้า </w:t>
      </w:r>
      <w:r w:rsidRPr="004D2C58">
        <w:t xml:space="preserve">NPO </w:t>
      </w:r>
      <w:r w:rsidRPr="004D2C58">
        <w:rPr>
          <w:cs/>
        </w:rPr>
        <w:t xml:space="preserve">พิจารณาติดตาม </w:t>
      </w:r>
      <w:r w:rsidRPr="004D2C58">
        <w:t xml:space="preserve">CK next 48-72 hr </w:t>
      </w:r>
    </w:p>
    <w:p w14:paraId="37EA79B0" w14:textId="089E4B80" w:rsidR="004D2C58" w:rsidRDefault="004D2C58" w:rsidP="004D2C58">
      <w:pPr>
        <w:ind w:firstLine="720"/>
      </w:pPr>
      <w:r w:rsidRPr="004D2C58">
        <w:t xml:space="preserve">2. CK 5000 - 10,000 - IV Hydration, </w:t>
      </w:r>
      <w:r w:rsidRPr="004D2C58">
        <w:rPr>
          <w:cs/>
        </w:rPr>
        <w:t xml:space="preserve">ติดตาม </w:t>
      </w:r>
      <w:r w:rsidRPr="004D2C58">
        <w:t xml:space="preserve">CK + Cr q 24 hr </w:t>
      </w:r>
      <w:r w:rsidRPr="004D2C58">
        <w:rPr>
          <w:cs/>
        </w:rPr>
        <w:t xml:space="preserve">จน </w:t>
      </w:r>
      <w:r w:rsidRPr="004D2C58">
        <w:t xml:space="preserve">CK &lt; 5,000 2 </w:t>
      </w:r>
      <w:r w:rsidRPr="004D2C58">
        <w:rPr>
          <w:cs/>
        </w:rPr>
        <w:t xml:space="preserve">วันจึงหยุด </w:t>
      </w:r>
      <w:r w:rsidRPr="004D2C58">
        <w:t xml:space="preserve">hydration </w:t>
      </w:r>
    </w:p>
    <w:p w14:paraId="1360D627" w14:textId="3BC33236" w:rsidR="004D2C58" w:rsidRDefault="004D2C58" w:rsidP="004D2C58">
      <w:pPr>
        <w:ind w:firstLine="720"/>
      </w:pPr>
      <w:r w:rsidRPr="004D2C58">
        <w:t xml:space="preserve">3. CK &gt; 10,000 Aggressive IV Hydration, CK + CR q 12 hr, K, Ca, P q 24 hr </w:t>
      </w:r>
    </w:p>
    <w:p w14:paraId="1313B363" w14:textId="77777777" w:rsidR="004D2C58" w:rsidRDefault="004D2C58" w:rsidP="004D2C58">
      <w:pPr>
        <w:ind w:firstLine="720"/>
      </w:pPr>
      <w:r w:rsidRPr="004D2C58">
        <w:t xml:space="preserve">4. Consult Med </w:t>
      </w:r>
      <w:r w:rsidRPr="004D2C58">
        <w:rPr>
          <w:cs/>
        </w:rPr>
        <w:t xml:space="preserve">เมื่อ </w:t>
      </w:r>
      <w:r w:rsidRPr="004D2C58">
        <w:t xml:space="preserve">Oliguria </w:t>
      </w:r>
      <w:r w:rsidRPr="004D2C58">
        <w:rPr>
          <w:cs/>
        </w:rPr>
        <w:t xml:space="preserve">ร่วมกับ </w:t>
      </w:r>
      <w:r w:rsidRPr="004D2C58">
        <w:t xml:space="preserve">Cr &gt;= 2 </w:t>
      </w:r>
      <w:r w:rsidRPr="004D2C58">
        <w:rPr>
          <w:cs/>
        </w:rPr>
        <w:t xml:space="preserve">หรือ </w:t>
      </w:r>
      <w:r w:rsidRPr="004D2C58">
        <w:t xml:space="preserve">K &gt; 6 </w:t>
      </w:r>
      <w:r w:rsidRPr="004D2C58">
        <w:rPr>
          <w:cs/>
        </w:rPr>
        <w:t xml:space="preserve">หรือ </w:t>
      </w:r>
      <w:r w:rsidRPr="004D2C58">
        <w:t xml:space="preserve">Severe metabolic acidosis, pH &lt; 7.1 </w:t>
      </w:r>
    </w:p>
    <w:p w14:paraId="212961A6" w14:textId="77777777" w:rsidR="004D2C58" w:rsidRDefault="004D2C58" w:rsidP="004D2C58">
      <w:pPr>
        <w:ind w:firstLine="720"/>
      </w:pPr>
    </w:p>
    <w:p w14:paraId="612B2604" w14:textId="77777777" w:rsidR="004D2C58" w:rsidRDefault="004D2C58">
      <w:pPr>
        <w:rPr>
          <w:b/>
          <w:bCs/>
          <w:cs/>
        </w:rPr>
      </w:pPr>
      <w:r>
        <w:rPr>
          <w:b/>
          <w:bCs/>
          <w:cs/>
        </w:rPr>
        <w:br w:type="page"/>
      </w:r>
    </w:p>
    <w:p w14:paraId="1FF36BF8" w14:textId="4F5E3F1E" w:rsidR="004D2C58" w:rsidRPr="004D2C58" w:rsidRDefault="004D2C58" w:rsidP="004D2C58">
      <w:pPr>
        <w:ind w:firstLine="720"/>
        <w:rPr>
          <w:b/>
          <w:bCs/>
        </w:rPr>
      </w:pPr>
      <w:r w:rsidRPr="004D2C58">
        <w:rPr>
          <w:b/>
          <w:bCs/>
          <w:cs/>
        </w:rPr>
        <w:lastRenderedPageBreak/>
        <w:t>คำแนะนำอื่นๆ</w:t>
      </w:r>
      <w:r w:rsidRPr="004D2C58">
        <w:rPr>
          <w:b/>
          <w:bCs/>
        </w:rPr>
        <w:t xml:space="preserve"> </w:t>
      </w:r>
    </w:p>
    <w:p w14:paraId="6D0530EE" w14:textId="77777777" w:rsidR="004D2C58" w:rsidRDefault="004D2C58" w:rsidP="004D2C58">
      <w:pPr>
        <w:ind w:firstLine="720"/>
      </w:pPr>
      <w:r w:rsidRPr="004D2C58">
        <w:t xml:space="preserve">- </w:t>
      </w:r>
      <w:r w:rsidRPr="004D2C58">
        <w:rPr>
          <w:cs/>
        </w:rPr>
        <w:t xml:space="preserve">พิจารณาเฝ้าระวัง </w:t>
      </w:r>
      <w:r w:rsidRPr="004D2C58">
        <w:t xml:space="preserve">Lab: Calcium, Phosphate, Potassium, ABG </w:t>
      </w:r>
      <w:r w:rsidRPr="004D2C58">
        <w:rPr>
          <w:cs/>
        </w:rPr>
        <w:t xml:space="preserve">ดู </w:t>
      </w:r>
      <w:r w:rsidRPr="004D2C58">
        <w:t xml:space="preserve">pH </w:t>
      </w:r>
      <w:r w:rsidRPr="004D2C58">
        <w:rPr>
          <w:cs/>
        </w:rPr>
        <w:t xml:space="preserve">เพื่อวินิจฉัยภาวะ </w:t>
      </w:r>
      <w:r w:rsidRPr="004D2C58">
        <w:t xml:space="preserve">Metabolic acidosis </w:t>
      </w:r>
    </w:p>
    <w:p w14:paraId="6F34644D" w14:textId="77777777" w:rsidR="004D2C58" w:rsidRDefault="004D2C58" w:rsidP="004D2C58">
      <w:pPr>
        <w:ind w:firstLine="720"/>
      </w:pPr>
      <w:r w:rsidRPr="004D2C58">
        <w:t xml:space="preserve">- </w:t>
      </w:r>
      <w:r w:rsidRPr="004D2C58">
        <w:rPr>
          <w:cs/>
        </w:rPr>
        <w:t xml:space="preserve">ไม่แนะนำให้ใช้ </w:t>
      </w:r>
      <w:r w:rsidRPr="004D2C58">
        <w:t xml:space="preserve">Mannitol </w:t>
      </w:r>
      <w:r w:rsidRPr="004D2C58">
        <w:rPr>
          <w:cs/>
        </w:rPr>
        <w:t xml:space="preserve">หรือ </w:t>
      </w:r>
      <w:r w:rsidRPr="004D2C58">
        <w:t xml:space="preserve">Sodium bicarbonate </w:t>
      </w:r>
      <w:r w:rsidRPr="004D2C58">
        <w:rPr>
          <w:cs/>
        </w:rPr>
        <w:t xml:space="preserve">ในการรักษาภาวะ </w:t>
      </w:r>
      <w:r w:rsidRPr="004D2C58">
        <w:t xml:space="preserve">Rhabdomyolysis </w:t>
      </w:r>
    </w:p>
    <w:p w14:paraId="2DFADDEE" w14:textId="77777777" w:rsidR="004D2C58" w:rsidRDefault="004D2C58" w:rsidP="004D2C58">
      <w:pPr>
        <w:ind w:firstLine="720"/>
      </w:pPr>
      <w:r w:rsidRPr="004D2C58">
        <w:t xml:space="preserve">- </w:t>
      </w:r>
      <w:r w:rsidRPr="004D2C58">
        <w:rPr>
          <w:cs/>
        </w:rPr>
        <w:t xml:space="preserve">กรณีผู้ป่วยอายุน้อยกว่า </w:t>
      </w:r>
      <w:r w:rsidRPr="004D2C58">
        <w:t xml:space="preserve">18 </w:t>
      </w:r>
      <w:r w:rsidRPr="004D2C58">
        <w:rPr>
          <w:cs/>
        </w:rPr>
        <w:t>ปี ให้ปรึกษากุมารแพทย์ร่วมประเมิน</w:t>
      </w:r>
      <w:r w:rsidRPr="004D2C58">
        <w:t xml:space="preserve"> </w:t>
      </w:r>
    </w:p>
    <w:p w14:paraId="5D29A5EB" w14:textId="77777777" w:rsidR="004D2C58" w:rsidRDefault="004D2C58" w:rsidP="004D2C58">
      <w:pPr>
        <w:ind w:firstLine="720"/>
      </w:pPr>
      <w:r w:rsidRPr="004D2C58">
        <w:t xml:space="preserve">- </w:t>
      </w:r>
      <w:r w:rsidRPr="004D2C58">
        <w:rPr>
          <w:cs/>
        </w:rPr>
        <w:t>พิจารณาเฝ้าระวังการให้สารน้ำปริมาณมากในกลุ่มผู้ป่วยที่มีโรคร่วม เช่น โรคหัวใจ โรคไตวายเรื้อรัง</w:t>
      </w:r>
      <w:r w:rsidRPr="004D2C58">
        <w:t xml:space="preserve"> </w:t>
      </w:r>
    </w:p>
    <w:p w14:paraId="1D1908DA" w14:textId="77777777" w:rsidR="004D2C58" w:rsidRDefault="004D2C58" w:rsidP="004D2C58">
      <w:pPr>
        <w:ind w:firstLine="720"/>
      </w:pPr>
      <w:r w:rsidRPr="004D2C58">
        <w:rPr>
          <w:b/>
          <w:bCs/>
        </w:rPr>
        <w:t>References:</w:t>
      </w:r>
      <w:r w:rsidRPr="004D2C58">
        <w:t xml:space="preserve"> </w:t>
      </w:r>
    </w:p>
    <w:p w14:paraId="05A2FDF1" w14:textId="77777777" w:rsidR="004D2C58" w:rsidRDefault="004D2C58" w:rsidP="004D2C58">
      <w:pPr>
        <w:ind w:firstLine="720"/>
      </w:pPr>
      <w:r w:rsidRPr="004D2C58">
        <w:t xml:space="preserve">Rhabdomyolysis: an American association for the surgery of trauma critical care committee clinical consensus document 2022 </w:t>
      </w:r>
    </w:p>
    <w:p w14:paraId="3D276C05" w14:textId="77777777" w:rsidR="004D2C58" w:rsidRDefault="004D2C58" w:rsidP="004D2C58">
      <w:pPr>
        <w:ind w:firstLine="720"/>
      </w:pPr>
      <w:r w:rsidRPr="004D2C58">
        <w:t xml:space="preserve">Management of rhabdomyolysis: A practice management guideline from the Eastern Association for the Surgery of Trauma. 2022 </w:t>
      </w:r>
    </w:p>
    <w:p w14:paraId="3FB74A09" w14:textId="58F4A9EA" w:rsidR="004D2C58" w:rsidRPr="004D2C58" w:rsidRDefault="004D2C58" w:rsidP="004D2C58">
      <w:pPr>
        <w:ind w:firstLine="720"/>
      </w:pPr>
      <w:r w:rsidRPr="004D2C58">
        <w:rPr>
          <w:cs/>
        </w:rPr>
        <w:t xml:space="preserve">งานประชุมวิชาการ กลุ่มงานออร์โธปิดิกส์ โรงพยาบาลเชียงรายประชานุเคราะห์ </w:t>
      </w:r>
      <w:r w:rsidRPr="004D2C58">
        <w:t xml:space="preserve">29 </w:t>
      </w:r>
      <w:r w:rsidRPr="004D2C58">
        <w:rPr>
          <w:cs/>
        </w:rPr>
        <w:t xml:space="preserve">พค. </w:t>
      </w:r>
      <w:r w:rsidRPr="004D2C58">
        <w:t>2569</w:t>
      </w:r>
    </w:p>
    <w:p w14:paraId="26F7FA25" w14:textId="77777777" w:rsidR="004D2C58" w:rsidRDefault="004D2C58">
      <w:pPr>
        <w:rPr>
          <w:b/>
          <w:bCs/>
        </w:rPr>
      </w:pPr>
      <w:r>
        <w:rPr>
          <w:b/>
          <w:bCs/>
        </w:rPr>
        <w:br w:type="page"/>
      </w:r>
    </w:p>
    <w:p w14:paraId="75A016E7" w14:textId="2C67D8E1" w:rsidR="004D2C58" w:rsidRPr="004D2C58" w:rsidRDefault="004D2C58" w:rsidP="004D2C58">
      <w:r w:rsidRPr="004D2C58">
        <w:rPr>
          <w:b/>
          <w:bCs/>
        </w:rPr>
        <w:lastRenderedPageBreak/>
        <w:t>Order for one day</w:t>
      </w:r>
    </w:p>
    <w:p w14:paraId="199BA1BE" w14:textId="77777777" w:rsidR="004D2C58" w:rsidRPr="004D2C58" w:rsidRDefault="004D2C58" w:rsidP="004D2C58">
      <w:pPr>
        <w:rPr>
          <w:b/>
          <w:bCs/>
          <w:u w:val="single"/>
        </w:rPr>
      </w:pPr>
      <w:r w:rsidRPr="004D2C58">
        <w:rPr>
          <w:b/>
          <w:bCs/>
          <w:u w:val="single"/>
        </w:rPr>
        <w:t>Order note :</w:t>
      </w:r>
    </w:p>
    <w:p w14:paraId="0298B963" w14:textId="77777777" w:rsidR="004D2C58" w:rsidRPr="004D2C58" w:rsidRDefault="004D2C58" w:rsidP="004D2C58">
      <w:pPr>
        <w:rPr>
          <w:b/>
          <w:bCs/>
        </w:rPr>
      </w:pPr>
      <w:r w:rsidRPr="004D2C58">
        <w:rPr>
          <w:b/>
          <w:bCs/>
          <w:cs/>
        </w:rPr>
        <w:t xml:space="preserve">แนวทางการรักษาภาวะ </w:t>
      </w:r>
      <w:r w:rsidRPr="004D2C58">
        <w:rPr>
          <w:b/>
          <w:bCs/>
        </w:rPr>
        <w:t>Rhabdomyolysis 1.3.5</w:t>
      </w:r>
    </w:p>
    <w:p w14:paraId="380CC9C1" w14:textId="77777777" w:rsidR="004D2C58" w:rsidRPr="004D2C58" w:rsidRDefault="004D2C58" w:rsidP="004D2C58">
      <w:pPr>
        <w:numPr>
          <w:ilvl w:val="0"/>
          <w:numId w:val="1"/>
        </w:numPr>
      </w:pPr>
      <w:r w:rsidRPr="004D2C58">
        <w:rPr>
          <w:cs/>
        </w:rPr>
        <w:t>โปรดเลือกแนวทางการรักษาในช่องใดช่องหนึ่ง ดังต่อไปนี้</w:t>
      </w:r>
    </w:p>
    <w:p w14:paraId="5DA4D332" w14:textId="77777777" w:rsidR="004D2C58" w:rsidRPr="004D2C58" w:rsidRDefault="004D2C58" w:rsidP="004D2C58">
      <w:pPr>
        <w:rPr>
          <w:b/>
          <w:bCs/>
        </w:rPr>
      </w:pPr>
      <w:r w:rsidRPr="004D2C58">
        <w:rPr>
          <w:b/>
          <w:bCs/>
        </w:rPr>
        <w:t>( ) IV Hydration (CK 5,000 - 10,000)</w:t>
      </w:r>
    </w:p>
    <w:p w14:paraId="17470D18" w14:textId="77777777" w:rsidR="004D2C58" w:rsidRPr="004D2C58" w:rsidRDefault="004D2C58" w:rsidP="004D2C58">
      <w:pPr>
        <w:numPr>
          <w:ilvl w:val="0"/>
          <w:numId w:val="2"/>
        </w:numPr>
      </w:pPr>
      <w:r w:rsidRPr="004D2C58">
        <w:t>( ) NSS 1,000 ml IV 160 ml/hr, keep urine output &gt; 2 ml/kg/hr (&gt; 1000 ml / 8 hr; &gt; 3 L/day)</w:t>
      </w:r>
    </w:p>
    <w:p w14:paraId="1BCE02B9" w14:textId="77777777" w:rsidR="004D2C58" w:rsidRPr="004D2C58" w:rsidRDefault="004D2C58" w:rsidP="004D2C58">
      <w:pPr>
        <w:numPr>
          <w:ilvl w:val="0"/>
          <w:numId w:val="2"/>
        </w:numPr>
      </w:pPr>
      <w:r w:rsidRPr="004D2C58">
        <w:t xml:space="preserve">( ) </w:t>
      </w:r>
      <w:r w:rsidRPr="004D2C58">
        <w:rPr>
          <w:cs/>
        </w:rPr>
        <w:t xml:space="preserve">กรณีมี </w:t>
      </w:r>
      <w:r w:rsidRPr="004D2C58">
        <w:t xml:space="preserve">Head injury </w:t>
      </w:r>
      <w:r w:rsidRPr="004D2C58">
        <w:rPr>
          <w:cs/>
        </w:rPr>
        <w:t xml:space="preserve">ที่ต้องจำกัด </w:t>
      </w:r>
      <w:r w:rsidRPr="004D2C58">
        <w:t>fluid: NSS 1,000 ml IV 120 ml/hr, keep urine output 1-2 ml/kg/hr</w:t>
      </w:r>
    </w:p>
    <w:p w14:paraId="494B451A" w14:textId="77777777" w:rsidR="004D2C58" w:rsidRPr="004D2C58" w:rsidRDefault="004D2C58" w:rsidP="004D2C58">
      <w:pPr>
        <w:numPr>
          <w:ilvl w:val="0"/>
          <w:numId w:val="2"/>
        </w:numPr>
      </w:pPr>
      <w:r w:rsidRPr="004D2C58">
        <w:t xml:space="preserve">( ) Lab: CK + Cr </w:t>
      </w:r>
      <w:r w:rsidRPr="004D2C58">
        <w:rPr>
          <w:cs/>
        </w:rPr>
        <w:t>พรุ่งนี้</w:t>
      </w:r>
    </w:p>
    <w:p w14:paraId="67A6E4BD" w14:textId="77777777" w:rsidR="004D2C58" w:rsidRPr="004D2C58" w:rsidRDefault="004D2C58" w:rsidP="004D2C58">
      <w:pPr>
        <w:rPr>
          <w:b/>
          <w:bCs/>
        </w:rPr>
      </w:pPr>
      <w:r w:rsidRPr="004D2C58">
        <w:rPr>
          <w:b/>
          <w:bCs/>
        </w:rPr>
        <w:t>( ) Aggressive IV Hydration (CK &gt; 10,000)</w:t>
      </w:r>
    </w:p>
    <w:p w14:paraId="08A20EE4" w14:textId="77777777" w:rsidR="004D2C58" w:rsidRPr="004D2C58" w:rsidRDefault="004D2C58" w:rsidP="004D2C58">
      <w:pPr>
        <w:numPr>
          <w:ilvl w:val="0"/>
          <w:numId w:val="3"/>
        </w:numPr>
      </w:pPr>
      <w:r w:rsidRPr="004D2C58">
        <w:t>( ) Load NSS 500 ml (</w:t>
      </w:r>
      <w:r w:rsidRPr="004D2C58">
        <w:rPr>
          <w:cs/>
        </w:rPr>
        <w:t xml:space="preserve">พิจารณา </w:t>
      </w:r>
      <w:r w:rsidRPr="004D2C58">
        <w:t>load total up to 2,000 ml)</w:t>
      </w:r>
    </w:p>
    <w:p w14:paraId="4C21E757" w14:textId="77777777" w:rsidR="004D2C58" w:rsidRPr="004D2C58" w:rsidRDefault="004D2C58" w:rsidP="004D2C58">
      <w:pPr>
        <w:numPr>
          <w:ilvl w:val="0"/>
          <w:numId w:val="3"/>
        </w:numPr>
      </w:pPr>
      <w:r w:rsidRPr="004D2C58">
        <w:t>( ) NSS 1,000 ml IV 200 ml/hr initially, titrate to keep urine output 4-6 ml/kg/hr (200 - 300 ml/hr; 6 L/day)</w:t>
      </w:r>
    </w:p>
    <w:p w14:paraId="4BB4DC61" w14:textId="77777777" w:rsidR="004D2C58" w:rsidRPr="004D2C58" w:rsidRDefault="004D2C58" w:rsidP="004D2C58">
      <w:pPr>
        <w:numPr>
          <w:ilvl w:val="0"/>
          <w:numId w:val="3"/>
        </w:numPr>
      </w:pPr>
      <w:r w:rsidRPr="004D2C58">
        <w:t xml:space="preserve">( ) </w:t>
      </w:r>
      <w:r w:rsidRPr="004D2C58">
        <w:rPr>
          <w:cs/>
        </w:rPr>
        <w:t xml:space="preserve">กรณีมี </w:t>
      </w:r>
      <w:r w:rsidRPr="004D2C58">
        <w:t xml:space="preserve">Head injury </w:t>
      </w:r>
      <w:r w:rsidRPr="004D2C58">
        <w:rPr>
          <w:cs/>
        </w:rPr>
        <w:t xml:space="preserve">ที่ต้องจำกัด </w:t>
      </w:r>
      <w:r w:rsidRPr="004D2C58">
        <w:t>fluid: NSS 1,000 ml IV 140 ml/hr, titrate to keep urine output 1-2 ml/kg/hr</w:t>
      </w:r>
    </w:p>
    <w:p w14:paraId="74776507" w14:textId="77777777" w:rsidR="004D2C58" w:rsidRPr="004D2C58" w:rsidRDefault="004D2C58" w:rsidP="004D2C58">
      <w:pPr>
        <w:numPr>
          <w:ilvl w:val="0"/>
          <w:numId w:val="3"/>
        </w:numPr>
      </w:pPr>
      <w:r w:rsidRPr="004D2C58">
        <w:t>( ) Lab: CK + Cr q 12 hr; K, Ca, P q 24 hr</w:t>
      </w:r>
    </w:p>
    <w:p w14:paraId="236BBE0C" w14:textId="77777777" w:rsidR="004D2C58" w:rsidRPr="004D2C58" w:rsidRDefault="004D2C58" w:rsidP="004D2C58">
      <w:pPr>
        <w:numPr>
          <w:ilvl w:val="0"/>
          <w:numId w:val="3"/>
        </w:numPr>
      </w:pPr>
      <w:r w:rsidRPr="004D2C58">
        <w:t xml:space="preserve">( ) </w:t>
      </w:r>
      <w:r w:rsidRPr="004D2C58">
        <w:rPr>
          <w:cs/>
        </w:rPr>
        <w:t xml:space="preserve">ระวัง </w:t>
      </w:r>
      <w:r w:rsidRPr="004D2C58">
        <w:t xml:space="preserve">ongoing muscle damage: </w:t>
      </w:r>
      <w:r w:rsidRPr="004D2C58">
        <w:rPr>
          <w:cs/>
        </w:rPr>
        <w:t xml:space="preserve">เฝ้าระวัง </w:t>
      </w:r>
      <w:r w:rsidRPr="004D2C58">
        <w:t>compartment syndrome</w:t>
      </w:r>
    </w:p>
    <w:p w14:paraId="6323FDC4" w14:textId="77777777" w:rsidR="004D2C58" w:rsidRDefault="004D2C58" w:rsidP="004D2C58">
      <w:pPr>
        <w:rPr>
          <w:b/>
          <w:bCs/>
        </w:rPr>
      </w:pPr>
    </w:p>
    <w:p w14:paraId="7766999D" w14:textId="22A305D8" w:rsidR="004D2C58" w:rsidRPr="004D2C58" w:rsidRDefault="004D2C58" w:rsidP="004D2C58">
      <w:r w:rsidRPr="004D2C58">
        <w:rPr>
          <w:b/>
          <w:bCs/>
        </w:rPr>
        <w:t>Order for continue</w:t>
      </w:r>
    </w:p>
    <w:p w14:paraId="36201246" w14:textId="77777777" w:rsidR="004D2C58" w:rsidRPr="004D2C58" w:rsidRDefault="004D2C58" w:rsidP="004D2C58">
      <w:pPr>
        <w:rPr>
          <w:b/>
          <w:bCs/>
          <w:u w:val="single"/>
        </w:rPr>
      </w:pPr>
      <w:r w:rsidRPr="004D2C58">
        <w:rPr>
          <w:b/>
          <w:bCs/>
          <w:u w:val="single"/>
        </w:rPr>
        <w:t>Order Note</w:t>
      </w:r>
    </w:p>
    <w:p w14:paraId="0769D330" w14:textId="77777777" w:rsidR="004D2C58" w:rsidRPr="004D2C58" w:rsidRDefault="004D2C58" w:rsidP="004D2C58">
      <w:pPr>
        <w:numPr>
          <w:ilvl w:val="0"/>
          <w:numId w:val="4"/>
        </w:numPr>
      </w:pPr>
      <w:r w:rsidRPr="004D2C58">
        <w:t>( ) Retain Foleys</w:t>
      </w:r>
    </w:p>
    <w:p w14:paraId="01D77E0E" w14:textId="77777777" w:rsidR="004D2C58" w:rsidRPr="004D2C58" w:rsidRDefault="004D2C58" w:rsidP="004D2C58">
      <w:pPr>
        <w:numPr>
          <w:ilvl w:val="0"/>
          <w:numId w:val="4"/>
        </w:numPr>
      </w:pPr>
      <w:r w:rsidRPr="004D2C58">
        <w:t>( ) Record I/O</w:t>
      </w:r>
    </w:p>
    <w:p w14:paraId="733DE733" w14:textId="77777777" w:rsidR="004A6D3A" w:rsidRDefault="004A6D3A"/>
    <w:sectPr w:rsidR="004A6D3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81AB9"/>
    <w:multiLevelType w:val="multilevel"/>
    <w:tmpl w:val="DC16C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9C16E7"/>
    <w:multiLevelType w:val="multilevel"/>
    <w:tmpl w:val="AA9A4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80266E"/>
    <w:multiLevelType w:val="multilevel"/>
    <w:tmpl w:val="11FA0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703FA6"/>
    <w:multiLevelType w:val="multilevel"/>
    <w:tmpl w:val="EA66C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6754455">
    <w:abstractNumId w:val="2"/>
  </w:num>
  <w:num w:numId="2" w16cid:durableId="1237134680">
    <w:abstractNumId w:val="1"/>
  </w:num>
  <w:num w:numId="3" w16cid:durableId="505437656">
    <w:abstractNumId w:val="3"/>
  </w:num>
  <w:num w:numId="4" w16cid:durableId="337542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C58"/>
    <w:rsid w:val="000115D2"/>
    <w:rsid w:val="004A6D3A"/>
    <w:rsid w:val="004D2C58"/>
    <w:rsid w:val="00726698"/>
    <w:rsid w:val="009C3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3D6E1"/>
  <w15:chartTrackingRefBased/>
  <w15:docId w15:val="{21402A7E-A8BB-4046-B9F4-76BA9BDB9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H Sarabun New"/>
        <w:kern w:val="2"/>
        <w:sz w:val="24"/>
        <w:szCs w:val="32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2C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2C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2C5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2C5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2C5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2C5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2C5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2C5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2C5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2C58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2C58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2C58"/>
    <w:rPr>
      <w:rFonts w:asciiTheme="minorHAnsi" w:eastAsiaTheme="majorEastAsia" w:hAnsiTheme="minorHAnsi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2C58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2C58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2C5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2C5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2C5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2C5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2C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4D2C5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2C5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4D2C5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4D2C58"/>
    <w:pPr>
      <w:spacing w:before="160"/>
      <w:jc w:val="center"/>
    </w:pPr>
    <w:rPr>
      <w:rFonts w:cs="Angsana New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2C58"/>
    <w:rPr>
      <w:rFonts w:cs="Angsana New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2C58"/>
    <w:pPr>
      <w:ind w:left="720"/>
      <w:contextualSpacing/>
    </w:pPr>
    <w:rPr>
      <w:rFonts w:cs="Angsana New"/>
    </w:rPr>
  </w:style>
  <w:style w:type="character" w:styleId="IntenseEmphasis">
    <w:name w:val="Intense Emphasis"/>
    <w:basedOn w:val="DefaultParagraphFont"/>
    <w:uiPriority w:val="21"/>
    <w:qFormat/>
    <w:rsid w:val="004D2C5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2C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2C58"/>
    <w:rPr>
      <w:rFonts w:cs="Angsana New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2C58"/>
    <w:rPr>
      <w:b/>
      <w:bCs/>
      <w:smallCaps/>
      <w:color w:val="2F5496" w:themeColor="accent1" w:themeShade="BF"/>
      <w:spacing w:val="5"/>
    </w:rPr>
  </w:style>
  <w:style w:type="paragraph" w:styleId="Revision">
    <w:name w:val="Revision"/>
    <w:hidden/>
    <w:uiPriority w:val="99"/>
    <w:semiHidden/>
    <w:rsid w:val="004D2C58"/>
    <w:pPr>
      <w:spacing w:after="0" w:line="240" w:lineRule="auto"/>
    </w:pPr>
    <w:rPr>
      <w:rFonts w:cs="Angsan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348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ชานนท์ หาญสุทธิเวชกุล</dc:creator>
  <cp:keywords/>
  <dc:description/>
  <cp:lastModifiedBy>ชานนท์ หาญสุทธิเวชกุล</cp:lastModifiedBy>
  <cp:revision>1</cp:revision>
  <dcterms:created xsi:type="dcterms:W3CDTF">2026-06-03T05:24:00Z</dcterms:created>
  <dcterms:modified xsi:type="dcterms:W3CDTF">2026-06-03T07:30:00Z</dcterms:modified>
</cp:coreProperties>
</file>